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A" w:rsidRPr="000C7F57" w:rsidRDefault="00B55BA2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0C7F57">
        <w:rPr>
          <w:rFonts w:cs="Times New Roman"/>
          <w:i/>
          <w:noProof/>
          <w:sz w:val="28"/>
          <w:szCs w:val="28"/>
        </w:rPr>
        <w:drawing>
          <wp:inline distT="0" distB="0" distL="0" distR="0" wp14:anchorId="77BAC1DC" wp14:editId="52ABFB59">
            <wp:extent cx="5943600" cy="630540"/>
            <wp:effectExtent l="0" t="0" r="0" b="0"/>
            <wp:docPr id="2" name="image2.png" descr="I:\Branding and Marketing\Logos 6-17\Mindsource_LOGO_6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:\Branding and Marketing\Logos 6-17\Mindsource_LOGO_6-1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018A" w:rsidRPr="000C7F57" w:rsidRDefault="00B55BA2" w:rsidP="00215A3B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0C7F57">
        <w:rPr>
          <w:rFonts w:eastAsia="Times New Roman" w:cs="Times New Roman"/>
          <w:b/>
          <w:sz w:val="28"/>
          <w:szCs w:val="28"/>
          <w:u w:val="single"/>
        </w:rPr>
        <w:t>Colorado Advisory Board Meeting Minutes</w:t>
      </w:r>
    </w:p>
    <w:p w:rsidR="0039018A" w:rsidRPr="000C7F57" w:rsidRDefault="0010508A">
      <w:pPr>
        <w:spacing w:after="0"/>
        <w:rPr>
          <w:rFonts w:eastAsia="Times New Roman" w:cs="Times New Roman"/>
          <w:sz w:val="24"/>
          <w:szCs w:val="24"/>
        </w:rPr>
      </w:pPr>
      <w:r w:rsidRPr="000C7F57">
        <w:rPr>
          <w:rFonts w:eastAsia="Times New Roman" w:cs="Times New Roman"/>
          <w:sz w:val="24"/>
          <w:szCs w:val="24"/>
        </w:rPr>
        <w:t>Date:</w:t>
      </w:r>
      <w:r w:rsidR="0082421B" w:rsidRPr="000C7F57">
        <w:rPr>
          <w:rFonts w:eastAsia="Times New Roman" w:cs="Times New Roman"/>
          <w:sz w:val="24"/>
          <w:szCs w:val="24"/>
        </w:rPr>
        <w:tab/>
      </w:r>
      <w:r w:rsidR="0014736D" w:rsidRPr="000C7F57">
        <w:rPr>
          <w:rFonts w:eastAsia="Times New Roman" w:cs="Times New Roman"/>
          <w:sz w:val="24"/>
          <w:szCs w:val="24"/>
        </w:rPr>
        <w:t>March 21, 2019</w:t>
      </w:r>
      <w:r w:rsidR="0082421B" w:rsidRPr="000C7F57">
        <w:rPr>
          <w:rFonts w:eastAsia="Times New Roman" w:cs="Times New Roman"/>
          <w:sz w:val="24"/>
          <w:szCs w:val="24"/>
        </w:rPr>
        <w:tab/>
      </w:r>
      <w:r w:rsidR="0082421B" w:rsidRPr="000C7F57">
        <w:rPr>
          <w:rFonts w:eastAsia="Times New Roman" w:cs="Times New Roman"/>
          <w:sz w:val="24"/>
          <w:szCs w:val="24"/>
        </w:rPr>
        <w:tab/>
      </w:r>
      <w:r w:rsidR="0082421B" w:rsidRPr="000C7F57">
        <w:rPr>
          <w:rFonts w:eastAsia="Times New Roman" w:cs="Times New Roman"/>
          <w:sz w:val="24"/>
          <w:szCs w:val="24"/>
        </w:rPr>
        <w:tab/>
      </w:r>
      <w:r w:rsidR="0082421B" w:rsidRPr="000C7F57">
        <w:rPr>
          <w:rFonts w:eastAsia="Times New Roman" w:cs="Times New Roman"/>
          <w:sz w:val="24"/>
          <w:szCs w:val="24"/>
        </w:rPr>
        <w:tab/>
        <w:t xml:space="preserve">Time: </w:t>
      </w:r>
      <w:r w:rsidR="00B55BA2" w:rsidRPr="000C7F57">
        <w:rPr>
          <w:rFonts w:eastAsia="Times New Roman" w:cs="Times New Roman"/>
          <w:sz w:val="24"/>
          <w:szCs w:val="24"/>
        </w:rPr>
        <w:t xml:space="preserve">Location:  </w:t>
      </w:r>
      <w:r w:rsidRPr="000C7F57">
        <w:rPr>
          <w:rFonts w:eastAsia="Times New Roman" w:cs="Times New Roman"/>
          <w:sz w:val="24"/>
          <w:szCs w:val="24"/>
        </w:rPr>
        <w:t>Mile High United Way</w:t>
      </w:r>
      <w:r w:rsidR="00B55BA2" w:rsidRPr="000C7F57">
        <w:rPr>
          <w:rFonts w:eastAsia="Times New Roman" w:cs="Times New Roman"/>
          <w:sz w:val="24"/>
          <w:szCs w:val="24"/>
        </w:rPr>
        <w:t xml:space="preserve"> </w:t>
      </w:r>
    </w:p>
    <w:tbl>
      <w:tblPr>
        <w:tblStyle w:val="a"/>
        <w:tblW w:w="999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2548"/>
        <w:gridCol w:w="2672"/>
        <w:gridCol w:w="2105"/>
      </w:tblGrid>
      <w:tr w:rsidR="0039018A" w:rsidRPr="00FB18F3" w:rsidTr="00057EF6">
        <w:trPr>
          <w:trHeight w:val="280"/>
        </w:trPr>
        <w:tc>
          <w:tcPr>
            <w:tcW w:w="2672" w:type="dxa"/>
            <w:shd w:val="clear" w:color="auto" w:fill="D9D9D9"/>
          </w:tcPr>
          <w:p w:rsidR="0039018A" w:rsidRPr="000C7F57" w:rsidRDefault="00B55BA2">
            <w:pPr>
              <w:pStyle w:val="Heading3"/>
              <w:rPr>
                <w:rFonts w:ascii="Calibri" w:eastAsia="Tahoma" w:hAnsi="Calibri"/>
                <w:sz w:val="18"/>
                <w:szCs w:val="18"/>
              </w:rPr>
            </w:pPr>
            <w:r w:rsidRPr="000C7F57">
              <w:rPr>
                <w:rFonts w:ascii="Calibri" w:eastAsia="Tahoma" w:hAnsi="Calibri"/>
                <w:sz w:val="18"/>
                <w:szCs w:val="18"/>
              </w:rPr>
              <w:t>NAME</w:t>
            </w:r>
          </w:p>
        </w:tc>
        <w:tc>
          <w:tcPr>
            <w:tcW w:w="2548" w:type="dxa"/>
            <w:shd w:val="clear" w:color="auto" w:fill="D9D9D9"/>
          </w:tcPr>
          <w:p w:rsidR="0039018A" w:rsidRPr="000C7F57" w:rsidRDefault="00B55BA2">
            <w:pPr>
              <w:pStyle w:val="Heading3"/>
              <w:rPr>
                <w:rFonts w:ascii="Calibri" w:eastAsia="Tahoma" w:hAnsi="Calibri"/>
                <w:sz w:val="18"/>
                <w:szCs w:val="18"/>
              </w:rPr>
            </w:pPr>
            <w:r w:rsidRPr="000C7F57">
              <w:rPr>
                <w:rFonts w:ascii="Calibri" w:eastAsia="Tahoma" w:hAnsi="Calibri"/>
                <w:sz w:val="18"/>
                <w:szCs w:val="18"/>
              </w:rPr>
              <w:t>PRESENT</w:t>
            </w:r>
          </w:p>
        </w:tc>
        <w:tc>
          <w:tcPr>
            <w:tcW w:w="2672" w:type="dxa"/>
            <w:shd w:val="clear" w:color="auto" w:fill="D9D9D9"/>
          </w:tcPr>
          <w:p w:rsidR="0039018A" w:rsidRPr="000C7F57" w:rsidRDefault="00B55BA2">
            <w:pPr>
              <w:pStyle w:val="Heading3"/>
              <w:rPr>
                <w:rFonts w:ascii="Calibri" w:eastAsia="Tahoma" w:hAnsi="Calibri"/>
                <w:sz w:val="18"/>
                <w:szCs w:val="18"/>
              </w:rPr>
            </w:pPr>
            <w:r w:rsidRPr="000C7F57">
              <w:rPr>
                <w:rFonts w:ascii="Calibri" w:eastAsia="Tahoma" w:hAnsi="Calibri"/>
                <w:sz w:val="18"/>
                <w:szCs w:val="18"/>
              </w:rPr>
              <w:t>NAME</w:t>
            </w:r>
          </w:p>
        </w:tc>
        <w:tc>
          <w:tcPr>
            <w:tcW w:w="2105" w:type="dxa"/>
            <w:shd w:val="clear" w:color="auto" w:fill="D9D9D9"/>
          </w:tcPr>
          <w:p w:rsidR="0039018A" w:rsidRPr="000C7F57" w:rsidRDefault="00B55BA2">
            <w:pPr>
              <w:pStyle w:val="Heading3"/>
              <w:rPr>
                <w:rFonts w:ascii="Calibri" w:eastAsia="Tahoma" w:hAnsi="Calibri"/>
                <w:sz w:val="18"/>
                <w:szCs w:val="18"/>
              </w:rPr>
            </w:pPr>
            <w:r w:rsidRPr="000C7F57">
              <w:rPr>
                <w:rFonts w:ascii="Calibri" w:eastAsia="Tahoma" w:hAnsi="Calibri"/>
                <w:sz w:val="18"/>
                <w:szCs w:val="18"/>
              </w:rPr>
              <w:t>PRESENT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FA1AB3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Liz Gerdeman</w:t>
            </w:r>
          </w:p>
        </w:tc>
        <w:tc>
          <w:tcPr>
            <w:tcW w:w="2548" w:type="dxa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18A" w:rsidRPr="000C7F57" w:rsidRDefault="0039018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9018A" w:rsidRPr="000C7F57" w:rsidRDefault="0039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FA1AB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C7F57">
              <w:rPr>
                <w:rFonts w:eastAsia="Times New Roman" w:cs="Times New Roman"/>
                <w:b/>
                <w:sz w:val="24"/>
                <w:szCs w:val="24"/>
              </w:rPr>
              <w:t>(Board Members)</w:t>
            </w:r>
          </w:p>
        </w:tc>
        <w:tc>
          <w:tcPr>
            <w:tcW w:w="2548" w:type="dxa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Henika, Joy</w:t>
            </w:r>
          </w:p>
        </w:tc>
        <w:tc>
          <w:tcPr>
            <w:tcW w:w="2105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Byrne, Diane</w:t>
            </w:r>
          </w:p>
        </w:tc>
        <w:tc>
          <w:tcPr>
            <w:tcW w:w="2548" w:type="dxa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Henke, Patricia</w:t>
            </w:r>
          </w:p>
        </w:tc>
        <w:tc>
          <w:tcPr>
            <w:tcW w:w="2105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Dungan, Brinda</w:t>
            </w:r>
          </w:p>
        </w:tc>
        <w:tc>
          <w:tcPr>
            <w:tcW w:w="2548" w:type="dxa"/>
          </w:tcPr>
          <w:p w:rsidR="0039018A" w:rsidRPr="000C7F57" w:rsidRDefault="00FB18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Hotchkiss, Heather</w:t>
            </w:r>
          </w:p>
        </w:tc>
        <w:tc>
          <w:tcPr>
            <w:tcW w:w="2105" w:type="dxa"/>
          </w:tcPr>
          <w:p w:rsidR="0039018A" w:rsidRPr="000C7F57" w:rsidRDefault="001473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01359" w:rsidRPr="000C7F57">
              <w:rPr>
                <w:rFonts w:eastAsia="Times New Roman" w:cs="Times New Roman"/>
                <w:sz w:val="24"/>
                <w:szCs w:val="24"/>
              </w:rPr>
              <w:t>X</w:t>
            </w:r>
            <w:r w:rsidRPr="000C7F5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Engle, Ian</w:t>
            </w:r>
          </w:p>
        </w:tc>
        <w:tc>
          <w:tcPr>
            <w:tcW w:w="2548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Knauer, Russha</w:t>
            </w:r>
          </w:p>
        </w:tc>
        <w:tc>
          <w:tcPr>
            <w:tcW w:w="2105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6C33CF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Enriqu</w:t>
            </w:r>
            <w:r w:rsidR="00B55BA2" w:rsidRPr="000C7F57">
              <w:rPr>
                <w:rFonts w:eastAsia="Times New Roman" w:cs="Times New Roman"/>
                <w:sz w:val="24"/>
                <w:szCs w:val="24"/>
              </w:rPr>
              <w:t>ez, Denice</w:t>
            </w:r>
          </w:p>
        </w:tc>
        <w:tc>
          <w:tcPr>
            <w:tcW w:w="2548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Levis, Bill</w:t>
            </w:r>
          </w:p>
        </w:tc>
        <w:tc>
          <w:tcPr>
            <w:tcW w:w="2105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French, Anna</w:t>
            </w:r>
          </w:p>
        </w:tc>
        <w:tc>
          <w:tcPr>
            <w:tcW w:w="2548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Martinez, Maria</w:t>
            </w:r>
          </w:p>
        </w:tc>
        <w:tc>
          <w:tcPr>
            <w:tcW w:w="2105" w:type="dxa"/>
          </w:tcPr>
          <w:p w:rsidR="0039018A" w:rsidRPr="000C7F57" w:rsidRDefault="00601359" w:rsidP="005B22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Friedman, Ronen</w:t>
            </w:r>
          </w:p>
        </w:tc>
        <w:tc>
          <w:tcPr>
            <w:tcW w:w="2548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Meier, Anne</w:t>
            </w:r>
          </w:p>
        </w:tc>
        <w:tc>
          <w:tcPr>
            <w:tcW w:w="2105" w:type="dxa"/>
          </w:tcPr>
          <w:p w:rsidR="0039018A" w:rsidRPr="000C7F57" w:rsidRDefault="00FB18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Gabella, Barbara</w:t>
            </w:r>
          </w:p>
        </w:tc>
        <w:tc>
          <w:tcPr>
            <w:tcW w:w="2548" w:type="dxa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Snelson, Kari</w:t>
            </w:r>
          </w:p>
        </w:tc>
        <w:tc>
          <w:tcPr>
            <w:tcW w:w="2105" w:type="dxa"/>
          </w:tcPr>
          <w:p w:rsidR="0039018A" w:rsidRPr="000C7F57" w:rsidRDefault="00C433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01359" w:rsidRPr="000C7F57">
              <w:rPr>
                <w:rFonts w:eastAsia="Times New Roman" w:cs="Times New Roman"/>
                <w:sz w:val="24"/>
                <w:szCs w:val="24"/>
              </w:rPr>
              <w:t>X</w:t>
            </w:r>
            <w:r w:rsidRPr="000C7F5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39018A" w:rsidRPr="00FB18F3" w:rsidTr="00057EF6">
        <w:trPr>
          <w:trHeight w:val="458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Genzel, Ben</w:t>
            </w:r>
          </w:p>
        </w:tc>
        <w:tc>
          <w:tcPr>
            <w:tcW w:w="2548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</w:tcPr>
          <w:p w:rsidR="0039018A" w:rsidRPr="000C7F57" w:rsidRDefault="00B55BA2" w:rsidP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Spaulding, Peggy</w:t>
            </w:r>
          </w:p>
        </w:tc>
        <w:tc>
          <w:tcPr>
            <w:tcW w:w="2105" w:type="dxa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Hawley, Lenny</w:t>
            </w:r>
          </w:p>
        </w:tc>
        <w:tc>
          <w:tcPr>
            <w:tcW w:w="2548" w:type="dxa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Tyler, Janet</w:t>
            </w:r>
          </w:p>
        </w:tc>
        <w:tc>
          <w:tcPr>
            <w:tcW w:w="2105" w:type="dxa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018A" w:rsidRPr="00FB18F3" w:rsidTr="00057EF6">
        <w:trPr>
          <w:trHeight w:val="280"/>
        </w:trPr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Heidenreich, Steve</w:t>
            </w:r>
          </w:p>
        </w:tc>
        <w:tc>
          <w:tcPr>
            <w:tcW w:w="2548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Wren, Louisa</w:t>
            </w:r>
          </w:p>
        </w:tc>
        <w:tc>
          <w:tcPr>
            <w:tcW w:w="2105" w:type="dxa"/>
          </w:tcPr>
          <w:p w:rsidR="0039018A" w:rsidRPr="000C7F57" w:rsidRDefault="00601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9018A" w:rsidRPr="00FB18F3" w:rsidTr="00057EF6">
        <w:trPr>
          <w:trHeight w:val="341"/>
        </w:trPr>
        <w:tc>
          <w:tcPr>
            <w:tcW w:w="5220" w:type="dxa"/>
            <w:gridSpan w:val="2"/>
          </w:tcPr>
          <w:p w:rsidR="0039018A" w:rsidRPr="000C7F57" w:rsidRDefault="003901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</w:tcPr>
          <w:p w:rsidR="0039018A" w:rsidRPr="000C7F57" w:rsidRDefault="00B55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color w:val="000000"/>
                <w:sz w:val="24"/>
                <w:szCs w:val="24"/>
              </w:rPr>
              <w:t>*appeared by phone or video conferencing</w:t>
            </w:r>
          </w:p>
        </w:tc>
      </w:tr>
      <w:tr w:rsidR="0039018A" w:rsidRPr="00FB18F3" w:rsidTr="00057EF6">
        <w:trPr>
          <w:trHeight w:val="280"/>
        </w:trPr>
        <w:tc>
          <w:tcPr>
            <w:tcW w:w="5220" w:type="dxa"/>
            <w:gridSpan w:val="2"/>
            <w:shd w:val="clear" w:color="auto" w:fill="D9D9D9"/>
          </w:tcPr>
          <w:p w:rsidR="0039018A" w:rsidRPr="000C7F57" w:rsidRDefault="00B55BA2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0C7F57">
              <w:rPr>
                <w:rFonts w:ascii="Calibri" w:hAnsi="Calibri"/>
                <w:sz w:val="24"/>
                <w:szCs w:val="24"/>
              </w:rPr>
              <w:t>Staff</w:t>
            </w:r>
          </w:p>
        </w:tc>
        <w:tc>
          <w:tcPr>
            <w:tcW w:w="4777" w:type="dxa"/>
            <w:gridSpan w:val="2"/>
            <w:shd w:val="clear" w:color="auto" w:fill="D9D9D9"/>
          </w:tcPr>
          <w:p w:rsidR="0039018A" w:rsidRPr="000C7F57" w:rsidRDefault="00B55BA2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0C7F57">
              <w:rPr>
                <w:rFonts w:ascii="Calibri" w:hAnsi="Calibri"/>
                <w:sz w:val="24"/>
                <w:szCs w:val="24"/>
              </w:rPr>
              <w:t>Guests</w:t>
            </w:r>
          </w:p>
        </w:tc>
      </w:tr>
      <w:tr w:rsidR="0039018A" w:rsidRPr="00FB18F3" w:rsidTr="00057EF6">
        <w:trPr>
          <w:trHeight w:val="280"/>
        </w:trPr>
        <w:tc>
          <w:tcPr>
            <w:tcW w:w="5220" w:type="dxa"/>
            <w:gridSpan w:val="2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b/>
                <w:sz w:val="24"/>
                <w:szCs w:val="24"/>
              </w:rPr>
              <w:t>Facilitator</w:t>
            </w:r>
            <w:r w:rsidRPr="000C7F57">
              <w:rPr>
                <w:rFonts w:eastAsia="Times New Roman" w:cs="Times New Roman"/>
                <w:sz w:val="24"/>
                <w:szCs w:val="24"/>
              </w:rPr>
              <w:t xml:space="preserve"> Summer Gathercole</w:t>
            </w:r>
          </w:p>
        </w:tc>
        <w:tc>
          <w:tcPr>
            <w:tcW w:w="4777" w:type="dxa"/>
            <w:gridSpan w:val="2"/>
          </w:tcPr>
          <w:p w:rsidR="005B2293" w:rsidRPr="000C7F57" w:rsidRDefault="00601359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 xml:space="preserve">Ellen Kordonowy in place of Liz Gerdeman </w:t>
            </w:r>
          </w:p>
        </w:tc>
      </w:tr>
      <w:tr w:rsidR="0039018A" w:rsidRPr="00FB18F3" w:rsidTr="00057EF6">
        <w:trPr>
          <w:trHeight w:val="280"/>
        </w:trPr>
        <w:tc>
          <w:tcPr>
            <w:tcW w:w="5220" w:type="dxa"/>
            <w:gridSpan w:val="2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Karen Ferrington (MINDSOURCE)</w:t>
            </w:r>
          </w:p>
        </w:tc>
        <w:tc>
          <w:tcPr>
            <w:tcW w:w="4777" w:type="dxa"/>
            <w:gridSpan w:val="2"/>
          </w:tcPr>
          <w:p w:rsidR="0039018A" w:rsidRPr="000C7F57" w:rsidRDefault="0039018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018A" w:rsidRPr="00FB18F3" w:rsidTr="00057EF6">
        <w:trPr>
          <w:trHeight w:val="280"/>
        </w:trPr>
        <w:tc>
          <w:tcPr>
            <w:tcW w:w="5220" w:type="dxa"/>
            <w:gridSpan w:val="2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Regina Rodriguez (MINDSOURCE)</w:t>
            </w:r>
          </w:p>
        </w:tc>
        <w:tc>
          <w:tcPr>
            <w:tcW w:w="4777" w:type="dxa"/>
            <w:gridSpan w:val="2"/>
          </w:tcPr>
          <w:p w:rsidR="0039018A" w:rsidRPr="000C7F57" w:rsidRDefault="0039018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018A" w:rsidRPr="00FB18F3" w:rsidTr="00057EF6">
        <w:trPr>
          <w:trHeight w:val="280"/>
        </w:trPr>
        <w:tc>
          <w:tcPr>
            <w:tcW w:w="5220" w:type="dxa"/>
            <w:gridSpan w:val="2"/>
          </w:tcPr>
          <w:p w:rsidR="0039018A" w:rsidRPr="000C7F57" w:rsidRDefault="00B55BA2">
            <w:pPr>
              <w:rPr>
                <w:rFonts w:eastAsia="Times New Roman" w:cs="Times New Roman"/>
                <w:sz w:val="24"/>
                <w:szCs w:val="24"/>
              </w:rPr>
            </w:pPr>
            <w:r w:rsidRPr="000C7F57">
              <w:rPr>
                <w:rFonts w:eastAsia="Times New Roman" w:cs="Times New Roman"/>
                <w:sz w:val="24"/>
                <w:szCs w:val="24"/>
              </w:rPr>
              <w:t>Melissa Herrera (MINDSOURCE)</w:t>
            </w:r>
          </w:p>
        </w:tc>
        <w:tc>
          <w:tcPr>
            <w:tcW w:w="4777" w:type="dxa"/>
            <w:gridSpan w:val="2"/>
          </w:tcPr>
          <w:p w:rsidR="0039018A" w:rsidRPr="000C7F57" w:rsidRDefault="0039018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9018A" w:rsidRPr="000C7F57" w:rsidRDefault="0039018A">
      <w:pPr>
        <w:spacing w:after="0" w:line="240" w:lineRule="auto"/>
        <w:rPr>
          <w:rFonts w:cs="Times New Roman"/>
        </w:rPr>
      </w:pPr>
    </w:p>
    <w:p w:rsidR="000C7F57" w:rsidRDefault="000C7F57" w:rsidP="00767FF4">
      <w:pPr>
        <w:spacing w:after="0" w:line="240" w:lineRule="auto"/>
        <w:rPr>
          <w:rFonts w:eastAsia="Tahoma" w:cs="Times New Roman"/>
          <w:b/>
        </w:rPr>
      </w:pPr>
    </w:p>
    <w:p w:rsidR="000C7F57" w:rsidRDefault="000C7F57" w:rsidP="00767FF4">
      <w:pPr>
        <w:spacing w:after="0" w:line="240" w:lineRule="auto"/>
        <w:rPr>
          <w:rFonts w:eastAsia="Tahoma" w:cs="Times New Roman"/>
          <w:b/>
        </w:rPr>
      </w:pPr>
    </w:p>
    <w:p w:rsidR="0039018A" w:rsidRPr="000C7F57" w:rsidRDefault="00BA6A88" w:rsidP="00767FF4">
      <w:pPr>
        <w:spacing w:after="0" w:line="240" w:lineRule="auto"/>
        <w:rPr>
          <w:rFonts w:eastAsia="Tahoma" w:cs="Times New Roman"/>
          <w:b/>
        </w:rPr>
      </w:pPr>
      <w:bookmarkStart w:id="0" w:name="_GoBack"/>
      <w:bookmarkEnd w:id="0"/>
      <w:r w:rsidRPr="000C7F57">
        <w:rPr>
          <w:rFonts w:eastAsia="Tahoma" w:cs="Times New Roman"/>
          <w:b/>
        </w:rPr>
        <w:lastRenderedPageBreak/>
        <w:t>Approval of Minutes, Review purpose</w:t>
      </w:r>
      <w:r w:rsidR="00281439" w:rsidRPr="000C7F57">
        <w:rPr>
          <w:rFonts w:eastAsia="Tahoma" w:cs="Times New Roman"/>
          <w:b/>
        </w:rPr>
        <w:t xml:space="preserve"> of Advisory Board/Group Agreements, Making Connections</w:t>
      </w:r>
    </w:p>
    <w:tbl>
      <w:tblPr>
        <w:tblStyle w:val="a0"/>
        <w:tblW w:w="990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00"/>
        <w:gridCol w:w="2330"/>
        <w:gridCol w:w="1177"/>
      </w:tblGrid>
      <w:tr w:rsidR="0039018A" w:rsidRPr="00FB18F3" w:rsidTr="002E6969">
        <w:trPr>
          <w:trHeight w:val="638"/>
        </w:trPr>
        <w:tc>
          <w:tcPr>
            <w:tcW w:w="1800" w:type="dxa"/>
            <w:shd w:val="clear" w:color="auto" w:fill="D9D9D9"/>
          </w:tcPr>
          <w:p w:rsidR="0039018A" w:rsidRPr="000C7F57" w:rsidRDefault="00B55BA2">
            <w:pPr>
              <w:spacing w:after="0" w:line="240" w:lineRule="auto"/>
              <w:rPr>
                <w:rFonts w:eastAsia="Tahoma" w:cs="Times New Roman"/>
                <w:b/>
              </w:rPr>
            </w:pPr>
            <w:r w:rsidRPr="000C7F57">
              <w:rPr>
                <w:rFonts w:eastAsia="Tahoma" w:cs="Times New Roman"/>
                <w:b/>
              </w:rPr>
              <w:t>Discussion</w:t>
            </w:r>
          </w:p>
        </w:tc>
        <w:tc>
          <w:tcPr>
            <w:tcW w:w="8107" w:type="dxa"/>
            <w:gridSpan w:val="3"/>
          </w:tcPr>
          <w:p w:rsidR="008B5909" w:rsidRPr="000C7F57" w:rsidRDefault="008B5909" w:rsidP="00C57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 xml:space="preserve">Introductions were made. Board member </w:t>
            </w:r>
            <w:r w:rsidR="00C43350" w:rsidRPr="000C7F57">
              <w:rPr>
                <w:rFonts w:eastAsia="Tahoma" w:cs="Times New Roman"/>
              </w:rPr>
              <w:t>Steve Heidenreich</w:t>
            </w:r>
            <w:r w:rsidR="00B84DA2" w:rsidRPr="000C7F57">
              <w:rPr>
                <w:rFonts w:eastAsia="Tahoma" w:cs="Times New Roman"/>
              </w:rPr>
              <w:t xml:space="preserve"> </w:t>
            </w:r>
            <w:r w:rsidRPr="000C7F57">
              <w:rPr>
                <w:rFonts w:eastAsia="Tahoma" w:cs="Times New Roman"/>
              </w:rPr>
              <w:t>moved to appr</w:t>
            </w:r>
            <w:r w:rsidR="00B84DA2" w:rsidRPr="000C7F57">
              <w:rPr>
                <w:rFonts w:eastAsia="Tahoma" w:cs="Times New Roman"/>
              </w:rPr>
              <w:t>ove Advisory Board January 2019</w:t>
            </w:r>
            <w:r w:rsidRPr="000C7F57">
              <w:rPr>
                <w:rFonts w:eastAsia="Tahoma" w:cs="Times New Roman"/>
              </w:rPr>
              <w:t xml:space="preserve"> Minutes. Board Member </w:t>
            </w:r>
            <w:r w:rsidR="00B84DA2" w:rsidRPr="000C7F57">
              <w:rPr>
                <w:rFonts w:eastAsia="Tahoma" w:cs="Times New Roman"/>
              </w:rPr>
              <w:t>Russha</w:t>
            </w:r>
            <w:r w:rsidRPr="000C7F57">
              <w:rPr>
                <w:rFonts w:eastAsia="Tahoma" w:cs="Times New Roman"/>
              </w:rPr>
              <w:t xml:space="preserve"> </w:t>
            </w:r>
            <w:r w:rsidR="00FB02B8" w:rsidRPr="000C7F57">
              <w:rPr>
                <w:rFonts w:eastAsia="Tahoma" w:cs="Times New Roman"/>
              </w:rPr>
              <w:t>Knauer</w:t>
            </w:r>
            <w:r w:rsidR="00C43350" w:rsidRPr="000C7F57">
              <w:rPr>
                <w:rFonts w:eastAsia="Tahoma" w:cs="Times New Roman"/>
              </w:rPr>
              <w:t xml:space="preserve"> and Maria Martinez</w:t>
            </w:r>
            <w:r w:rsidR="00FB02B8" w:rsidRPr="000C7F57">
              <w:rPr>
                <w:rFonts w:eastAsia="Tahoma" w:cs="Times New Roman"/>
              </w:rPr>
              <w:t xml:space="preserve"> </w:t>
            </w:r>
            <w:r w:rsidRPr="000C7F57">
              <w:rPr>
                <w:rFonts w:eastAsia="Tahoma" w:cs="Times New Roman"/>
              </w:rPr>
              <w:t xml:space="preserve">seconded the motion and the motion to approve minutes was passed. </w:t>
            </w:r>
          </w:p>
          <w:p w:rsidR="008B5909" w:rsidRPr="000C7F57" w:rsidRDefault="008B5909" w:rsidP="008B5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 xml:space="preserve">Summer provided </w:t>
            </w:r>
            <w:r w:rsidR="00FB18F3" w:rsidRPr="000C7F57">
              <w:rPr>
                <w:rFonts w:eastAsia="Tahoma" w:cs="Times New Roman"/>
              </w:rPr>
              <w:t xml:space="preserve">a </w:t>
            </w:r>
            <w:r w:rsidRPr="000C7F57">
              <w:rPr>
                <w:rFonts w:eastAsia="Tahoma" w:cs="Times New Roman"/>
              </w:rPr>
              <w:t xml:space="preserve">brief overview of the agenda, group agreements in </w:t>
            </w:r>
            <w:r w:rsidR="00FB18F3" w:rsidRPr="000C7F57">
              <w:rPr>
                <w:rFonts w:eastAsia="Tahoma" w:cs="Times New Roman"/>
              </w:rPr>
              <w:t>the full board</w:t>
            </w:r>
            <w:r w:rsidRPr="000C7F57">
              <w:rPr>
                <w:rFonts w:eastAsia="Tahoma" w:cs="Times New Roman"/>
              </w:rPr>
              <w:t xml:space="preserve"> and </w:t>
            </w:r>
            <w:r w:rsidR="00FB18F3" w:rsidRPr="000C7F57">
              <w:rPr>
                <w:rFonts w:eastAsia="Tahoma" w:cs="Times New Roman"/>
              </w:rPr>
              <w:t>workgroup</w:t>
            </w:r>
            <w:r w:rsidRPr="000C7F57">
              <w:rPr>
                <w:rFonts w:eastAsia="Tahoma" w:cs="Times New Roman"/>
              </w:rPr>
              <w:t xml:space="preserve"> settings as well</w:t>
            </w:r>
          </w:p>
          <w:p w:rsidR="008B5909" w:rsidRPr="000C7F57" w:rsidRDefault="008B5909" w:rsidP="008B5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>MINDSOURCE Mission: To advance systems, facilitate research, and assure support services for individuals with brain injury</w:t>
            </w:r>
          </w:p>
          <w:p w:rsidR="008B5909" w:rsidRPr="000C7F57" w:rsidRDefault="008B5909" w:rsidP="008B5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>MINDSOURCE Vision: Enhanced quality of life for everyone in Colorado living with, or affected by brain injury and their communities</w:t>
            </w:r>
          </w:p>
          <w:p w:rsidR="00BA6A88" w:rsidRPr="000C7F57" w:rsidRDefault="008B5909" w:rsidP="00BA6A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>Expectations of the Advisory Board Members include:</w:t>
            </w:r>
            <w:r w:rsidR="003671B8" w:rsidRPr="000C7F57">
              <w:rPr>
                <w:rFonts w:eastAsia="Tahoma" w:cs="Times New Roman"/>
              </w:rPr>
              <w:t xml:space="preserve"> Be informed about the Advisory Board and its overall purpose, attend/participate in all meetings when possible, review materials ahead of time, bring a broad, open-minded perspective, be a constructive representative to the larger community. </w:t>
            </w:r>
          </w:p>
          <w:p w:rsidR="00A03747" w:rsidRPr="000C7F57" w:rsidRDefault="00A03747" w:rsidP="008B5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>Summer instructed the room to break out into groups to</w:t>
            </w:r>
            <w:r w:rsidR="00F1312B" w:rsidRPr="000C7F57">
              <w:rPr>
                <w:rFonts w:eastAsia="Tahoma" w:cs="Times New Roman"/>
              </w:rPr>
              <w:t xml:space="preserve"> add to the Google </w:t>
            </w:r>
            <w:r w:rsidR="00FB18F3" w:rsidRPr="000C7F57">
              <w:rPr>
                <w:rFonts w:eastAsia="Tahoma" w:cs="Times New Roman"/>
              </w:rPr>
              <w:t>d</w:t>
            </w:r>
            <w:r w:rsidR="00F1312B" w:rsidRPr="000C7F57">
              <w:rPr>
                <w:rFonts w:eastAsia="Tahoma" w:cs="Times New Roman"/>
              </w:rPr>
              <w:t>ocument that was sent out to the board via email to identify existing resource</w:t>
            </w:r>
            <w:r w:rsidR="00F87BBF" w:rsidRPr="000C7F57">
              <w:rPr>
                <w:rFonts w:eastAsia="Tahoma" w:cs="Times New Roman"/>
              </w:rPr>
              <w:t xml:space="preserve">s and </w:t>
            </w:r>
            <w:r w:rsidR="000C7F57" w:rsidRPr="000C7F57">
              <w:rPr>
                <w:rFonts w:eastAsia="Tahoma" w:cs="Times New Roman"/>
              </w:rPr>
              <w:t>trainings. Additions</w:t>
            </w:r>
            <w:r w:rsidR="001F5008" w:rsidRPr="000C7F57">
              <w:rPr>
                <w:rFonts w:eastAsia="Tahoma" w:cs="Times New Roman"/>
              </w:rPr>
              <w:t xml:space="preserve"> from</w:t>
            </w:r>
            <w:r w:rsidR="00072B58" w:rsidRPr="000C7F57">
              <w:rPr>
                <w:rFonts w:eastAsia="Tahoma" w:cs="Times New Roman"/>
              </w:rPr>
              <w:t xml:space="preserve"> the breakout session</w:t>
            </w:r>
            <w:r w:rsidR="00F87BBF" w:rsidRPr="000C7F57">
              <w:rPr>
                <w:rFonts w:eastAsia="Tahoma" w:cs="Times New Roman"/>
              </w:rPr>
              <w:t>s</w:t>
            </w:r>
            <w:r w:rsidR="00072B58" w:rsidRPr="000C7F57">
              <w:rPr>
                <w:rFonts w:eastAsia="Tahoma" w:cs="Times New Roman"/>
              </w:rPr>
              <w:t xml:space="preserve"> on the work</w:t>
            </w:r>
            <w:r w:rsidR="00812B97" w:rsidRPr="000C7F57">
              <w:rPr>
                <w:rFonts w:eastAsia="Tahoma" w:cs="Times New Roman"/>
              </w:rPr>
              <w:t xml:space="preserve"> of the Advisory Board can be found on the </w:t>
            </w:r>
            <w:hyperlink r:id="rId9" w:history="1">
              <w:r w:rsidR="00812B97" w:rsidRPr="000C7F57">
                <w:rPr>
                  <w:rStyle w:val="Hyperlink"/>
                  <w:rFonts w:eastAsia="Tahoma" w:cs="Times New Roman"/>
                </w:rPr>
                <w:t>Google Doc</w:t>
              </w:r>
            </w:hyperlink>
            <w:r w:rsidR="00812B97" w:rsidRPr="000C7F57">
              <w:rPr>
                <w:rFonts w:eastAsia="Tahoma" w:cs="Times New Roman"/>
              </w:rPr>
              <w:t>.</w:t>
            </w:r>
          </w:p>
          <w:p w:rsidR="000765F3" w:rsidRPr="000C7F57" w:rsidRDefault="000765F3" w:rsidP="00D83435">
            <w:pPr>
              <w:spacing w:after="0" w:line="240" w:lineRule="auto"/>
              <w:ind w:left="90"/>
              <w:rPr>
                <w:rFonts w:eastAsia="Tahoma" w:cs="Times New Roman"/>
              </w:rPr>
            </w:pPr>
          </w:p>
        </w:tc>
      </w:tr>
      <w:tr w:rsidR="0039018A" w:rsidRPr="00FB18F3" w:rsidTr="00057EF6">
        <w:tc>
          <w:tcPr>
            <w:tcW w:w="6400" w:type="dxa"/>
            <w:gridSpan w:val="2"/>
            <w:shd w:val="clear" w:color="auto" w:fill="D9D9D9"/>
          </w:tcPr>
          <w:p w:rsidR="0039018A" w:rsidRPr="000C7F57" w:rsidRDefault="00B55BA2">
            <w:pPr>
              <w:spacing w:after="0" w:line="240" w:lineRule="auto"/>
              <w:rPr>
                <w:rFonts w:eastAsia="Tahoma" w:cs="Times New Roman"/>
                <w:b/>
              </w:rPr>
            </w:pPr>
            <w:r w:rsidRPr="000C7F57">
              <w:rPr>
                <w:rFonts w:eastAsia="Tahoma" w:cs="Times New Roman"/>
                <w:b/>
              </w:rPr>
              <w:t>Action Items</w:t>
            </w:r>
          </w:p>
        </w:tc>
        <w:tc>
          <w:tcPr>
            <w:tcW w:w="2330" w:type="dxa"/>
            <w:shd w:val="clear" w:color="auto" w:fill="D9D9D9"/>
          </w:tcPr>
          <w:p w:rsidR="0039018A" w:rsidRPr="000C7F57" w:rsidRDefault="00B55BA2">
            <w:pPr>
              <w:spacing w:after="0" w:line="240" w:lineRule="auto"/>
              <w:rPr>
                <w:rFonts w:eastAsia="Tahoma" w:cs="Times New Roman"/>
                <w:b/>
              </w:rPr>
            </w:pPr>
            <w:r w:rsidRPr="000C7F57">
              <w:rPr>
                <w:rFonts w:eastAsia="Tahoma" w:cs="Times New Roman"/>
                <w:b/>
              </w:rPr>
              <w:t>Person(s) Responsible</w:t>
            </w:r>
          </w:p>
        </w:tc>
        <w:tc>
          <w:tcPr>
            <w:tcW w:w="1177" w:type="dxa"/>
            <w:shd w:val="clear" w:color="auto" w:fill="D9D9D9"/>
          </w:tcPr>
          <w:p w:rsidR="0039018A" w:rsidRPr="000C7F57" w:rsidRDefault="00B55BA2">
            <w:pPr>
              <w:spacing w:after="0" w:line="240" w:lineRule="auto"/>
              <w:rPr>
                <w:rFonts w:eastAsia="Tahoma" w:cs="Times New Roman"/>
                <w:b/>
              </w:rPr>
            </w:pPr>
            <w:r w:rsidRPr="000C7F57">
              <w:rPr>
                <w:rFonts w:eastAsia="Tahoma" w:cs="Times New Roman"/>
                <w:b/>
              </w:rPr>
              <w:t>Deadline</w:t>
            </w:r>
          </w:p>
        </w:tc>
      </w:tr>
      <w:tr w:rsidR="0039018A" w:rsidRPr="00FB18F3" w:rsidTr="00057EF6">
        <w:trPr>
          <w:trHeight w:val="280"/>
        </w:trPr>
        <w:tc>
          <w:tcPr>
            <w:tcW w:w="6400" w:type="dxa"/>
            <w:gridSpan w:val="2"/>
          </w:tcPr>
          <w:p w:rsidR="00924019" w:rsidRPr="000C7F57" w:rsidRDefault="00924019" w:rsidP="00447B0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ahoma" w:cs="Times New Roman"/>
              </w:rPr>
            </w:pPr>
          </w:p>
        </w:tc>
        <w:tc>
          <w:tcPr>
            <w:tcW w:w="2330" w:type="dxa"/>
          </w:tcPr>
          <w:p w:rsidR="0039018A" w:rsidRPr="000C7F57" w:rsidRDefault="0039018A">
            <w:pPr>
              <w:spacing w:after="0" w:line="240" w:lineRule="auto"/>
              <w:rPr>
                <w:rFonts w:eastAsia="Tahoma" w:cs="Times New Roman"/>
              </w:rPr>
            </w:pPr>
          </w:p>
        </w:tc>
        <w:tc>
          <w:tcPr>
            <w:tcW w:w="1177" w:type="dxa"/>
          </w:tcPr>
          <w:p w:rsidR="0039018A" w:rsidRPr="000C7F57" w:rsidRDefault="0039018A" w:rsidP="00BA6A88">
            <w:pPr>
              <w:spacing w:after="0" w:line="240" w:lineRule="auto"/>
              <w:rPr>
                <w:rFonts w:eastAsia="Tahoma" w:cs="Times New Roman"/>
              </w:rPr>
            </w:pPr>
          </w:p>
        </w:tc>
      </w:tr>
    </w:tbl>
    <w:p w:rsidR="00281439" w:rsidRPr="000C7F57" w:rsidRDefault="00281439" w:rsidP="000C7F57">
      <w:pPr>
        <w:spacing w:after="0"/>
        <w:rPr>
          <w:rFonts w:eastAsia="Tahoma" w:cs="Times New Roman"/>
          <w:b/>
        </w:rPr>
      </w:pPr>
    </w:p>
    <w:p w:rsidR="00C57688" w:rsidRPr="000C7F57" w:rsidRDefault="00823094" w:rsidP="00C57688">
      <w:pPr>
        <w:spacing w:after="0"/>
        <w:ind w:left="-360"/>
        <w:rPr>
          <w:rFonts w:eastAsia="Tahoma" w:cs="Times New Roman"/>
          <w:b/>
        </w:rPr>
      </w:pPr>
      <w:r w:rsidRPr="000C7F57">
        <w:rPr>
          <w:rFonts w:eastAsia="Tahoma" w:cs="Times New Roman"/>
          <w:b/>
        </w:rPr>
        <w:t>O</w:t>
      </w:r>
      <w:r w:rsidR="001000C6" w:rsidRPr="000C7F57">
        <w:rPr>
          <w:rFonts w:eastAsia="Tahoma" w:cs="Times New Roman"/>
          <w:b/>
        </w:rPr>
        <w:t>verview: Working Group Goals &amp; Strategies</w:t>
      </w:r>
    </w:p>
    <w:tbl>
      <w:tblPr>
        <w:tblStyle w:val="a0"/>
        <w:tblW w:w="999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070"/>
        <w:gridCol w:w="2330"/>
        <w:gridCol w:w="2700"/>
      </w:tblGrid>
      <w:tr w:rsidR="00204C0F" w:rsidRPr="00FB18F3" w:rsidTr="00057EF6">
        <w:tc>
          <w:tcPr>
            <w:tcW w:w="1890" w:type="dxa"/>
            <w:shd w:val="clear" w:color="auto" w:fill="D9D9D9"/>
          </w:tcPr>
          <w:p w:rsidR="00204C0F" w:rsidRPr="000C7F57" w:rsidRDefault="00204C0F" w:rsidP="008D1644">
            <w:pPr>
              <w:spacing w:after="0" w:line="240" w:lineRule="auto"/>
              <w:rPr>
                <w:rFonts w:eastAsia="Tahoma" w:cs="Times New Roman"/>
                <w:b/>
              </w:rPr>
            </w:pPr>
            <w:r w:rsidRPr="000C7F57">
              <w:rPr>
                <w:rFonts w:eastAsia="Tahoma" w:cs="Times New Roman"/>
                <w:b/>
              </w:rPr>
              <w:t>Discussion</w:t>
            </w:r>
          </w:p>
        </w:tc>
        <w:tc>
          <w:tcPr>
            <w:tcW w:w="8100" w:type="dxa"/>
            <w:gridSpan w:val="3"/>
          </w:tcPr>
          <w:p w:rsidR="001F5008" w:rsidRPr="000C7F57" w:rsidRDefault="001F5008" w:rsidP="00BA6A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>Summer gave an overview on the preliminary strategic state plan.</w:t>
            </w:r>
            <w:r w:rsidR="00D83435" w:rsidRPr="000C7F57">
              <w:rPr>
                <w:rFonts w:eastAsia="Tahoma" w:cs="Times New Roman"/>
              </w:rPr>
              <w:t xml:space="preserve"> Goals and strategies in the plan from working groups included in the strategic plan draft are k</w:t>
            </w:r>
            <w:r w:rsidRPr="000C7F57">
              <w:rPr>
                <w:rFonts w:eastAsia="Tahoma" w:cs="Times New Roman"/>
              </w:rPr>
              <w:t>ept at a high level with f</w:t>
            </w:r>
            <w:r w:rsidR="00D83435" w:rsidRPr="000C7F57">
              <w:rPr>
                <w:rFonts w:eastAsia="Tahoma" w:cs="Times New Roman"/>
              </w:rPr>
              <w:t>ocu</w:t>
            </w:r>
            <w:r w:rsidRPr="000C7F57">
              <w:rPr>
                <w:rFonts w:eastAsia="Tahoma" w:cs="Times New Roman"/>
              </w:rPr>
              <w:t>s on objectives and tactics to</w:t>
            </w:r>
            <w:r w:rsidR="00D83435" w:rsidRPr="000C7F57">
              <w:rPr>
                <w:rFonts w:eastAsia="Tahoma" w:cs="Times New Roman"/>
              </w:rPr>
              <w:t xml:space="preserve"> be discussed at future meetings.</w:t>
            </w:r>
          </w:p>
          <w:p w:rsidR="00C011E6" w:rsidRPr="000C7F57" w:rsidRDefault="001F5008" w:rsidP="00BA6A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 xml:space="preserve">Changes made by working groups in the March Advisory Board meeting will be discussed in a focus group facilitated by Summer in April. </w:t>
            </w:r>
            <w:r w:rsidR="00D83435" w:rsidRPr="000C7F57">
              <w:rPr>
                <w:rFonts w:eastAsia="Tahoma" w:cs="Times New Roman"/>
              </w:rPr>
              <w:t xml:space="preserve">Board members will discuss suggested revisions in advance of a second round of focus groups across the state of Colorado. </w:t>
            </w:r>
          </w:p>
          <w:p w:rsidR="00C011E6" w:rsidRPr="000C7F57" w:rsidRDefault="001F5008" w:rsidP="00AD0AD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>Board members separated into working groups to discuss the MINDSOURCE Strategic Plan Draft</w:t>
            </w:r>
            <w:r w:rsidR="00AD0ADE" w:rsidRPr="000C7F57">
              <w:rPr>
                <w:rFonts w:eastAsia="Tahoma" w:cs="Times New Roman"/>
              </w:rPr>
              <w:t>. Questions that were to be considered included in the agenda were:</w:t>
            </w:r>
            <w:r w:rsidR="00C011E6" w:rsidRPr="00FB18F3">
              <w:t xml:space="preserve"> </w:t>
            </w:r>
          </w:p>
          <w:p w:rsidR="00C011E6" w:rsidRPr="000C7F57" w:rsidRDefault="00C011E6" w:rsidP="000C7F57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FB18F3">
              <w:t xml:space="preserve">Are these the right goals and strategies for your working group? </w:t>
            </w:r>
          </w:p>
          <w:p w:rsidR="00C011E6" w:rsidRPr="000C7F57" w:rsidRDefault="00C011E6" w:rsidP="000C7F57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FB18F3">
              <w:t xml:space="preserve">What strategy(ies) would you add to enhance/improve the person-centeredness of brain injury case management services? </w:t>
            </w:r>
          </w:p>
          <w:p w:rsidR="00C011E6" w:rsidRPr="000C7F57" w:rsidRDefault="00C011E6" w:rsidP="000C7F57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FB18F3">
              <w:t xml:space="preserve">What strategy(ies) would you add to enhance/improve the cultural competence of brain injury case management services? </w:t>
            </w:r>
          </w:p>
          <w:p w:rsidR="00C011E6" w:rsidRPr="000C7F57" w:rsidRDefault="00C011E6" w:rsidP="000C7F57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FB18F3">
              <w:t xml:space="preserve">What policies, if any, need to be considered for your working group -- whether new or revised? </w:t>
            </w:r>
          </w:p>
          <w:p w:rsidR="00C011E6" w:rsidRPr="000C7F57" w:rsidRDefault="00C011E6" w:rsidP="000C7F57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FB18F3">
              <w:t xml:space="preserve">How should public awareness be integrated into your strategies? </w:t>
            </w:r>
          </w:p>
          <w:p w:rsidR="00C011E6" w:rsidRPr="000C7F57" w:rsidRDefault="00C011E6" w:rsidP="000C7F57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FB18F3">
              <w:t>How should special populations be integrated into your strategies?</w:t>
            </w:r>
          </w:p>
          <w:p w:rsidR="00BA6A88" w:rsidRPr="000C7F57" w:rsidRDefault="00BA0BB3" w:rsidP="0004078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>Each working g</w:t>
            </w:r>
            <w:r w:rsidR="00281439" w:rsidRPr="000C7F57">
              <w:rPr>
                <w:rFonts w:eastAsia="Tahoma" w:cs="Times New Roman"/>
              </w:rPr>
              <w:t xml:space="preserve">roups </w:t>
            </w:r>
            <w:r w:rsidR="00040784" w:rsidRPr="000C7F57">
              <w:rPr>
                <w:rFonts w:eastAsia="Tahoma" w:cs="Times New Roman"/>
              </w:rPr>
              <w:t xml:space="preserve">reported out on revisions to the goals and strategies. </w:t>
            </w:r>
          </w:p>
        </w:tc>
      </w:tr>
      <w:tr w:rsidR="00204C0F" w:rsidRPr="00FB18F3" w:rsidTr="00057EF6">
        <w:tc>
          <w:tcPr>
            <w:tcW w:w="4960" w:type="dxa"/>
            <w:gridSpan w:val="2"/>
            <w:shd w:val="clear" w:color="auto" w:fill="D9D9D9"/>
          </w:tcPr>
          <w:p w:rsidR="00204C0F" w:rsidRPr="000C7F57" w:rsidRDefault="00204C0F" w:rsidP="008D1644">
            <w:pPr>
              <w:spacing w:after="0" w:line="240" w:lineRule="auto"/>
              <w:rPr>
                <w:rFonts w:eastAsia="Tahoma" w:cs="Times New Roman"/>
                <w:b/>
                <w:sz w:val="18"/>
                <w:szCs w:val="18"/>
              </w:rPr>
            </w:pPr>
            <w:r w:rsidRPr="000C7F57">
              <w:rPr>
                <w:rFonts w:eastAsia="Tahoma" w:cs="Times New Roman"/>
                <w:b/>
                <w:sz w:val="18"/>
                <w:szCs w:val="18"/>
              </w:rPr>
              <w:t>Action Items</w:t>
            </w:r>
          </w:p>
        </w:tc>
        <w:tc>
          <w:tcPr>
            <w:tcW w:w="2330" w:type="dxa"/>
            <w:shd w:val="clear" w:color="auto" w:fill="D9D9D9"/>
          </w:tcPr>
          <w:p w:rsidR="00204C0F" w:rsidRPr="000C7F57" w:rsidRDefault="00204C0F" w:rsidP="008D1644">
            <w:pPr>
              <w:spacing w:after="0" w:line="240" w:lineRule="auto"/>
              <w:rPr>
                <w:rFonts w:eastAsia="Tahoma" w:cs="Times New Roman"/>
                <w:b/>
                <w:sz w:val="18"/>
                <w:szCs w:val="18"/>
              </w:rPr>
            </w:pPr>
            <w:r w:rsidRPr="000C7F57">
              <w:rPr>
                <w:rFonts w:eastAsia="Tahoma" w:cs="Times New Roman"/>
                <w:b/>
                <w:sz w:val="18"/>
                <w:szCs w:val="18"/>
              </w:rPr>
              <w:t>Person(s) Responsible</w:t>
            </w:r>
          </w:p>
        </w:tc>
        <w:tc>
          <w:tcPr>
            <w:tcW w:w="2700" w:type="dxa"/>
            <w:shd w:val="clear" w:color="auto" w:fill="D9D9D9"/>
          </w:tcPr>
          <w:p w:rsidR="00204C0F" w:rsidRPr="000C7F57" w:rsidRDefault="00204C0F" w:rsidP="008D1644">
            <w:pPr>
              <w:spacing w:after="0" w:line="240" w:lineRule="auto"/>
              <w:rPr>
                <w:rFonts w:eastAsia="Tahoma" w:cs="Times New Roman"/>
                <w:b/>
                <w:sz w:val="18"/>
                <w:szCs w:val="18"/>
              </w:rPr>
            </w:pPr>
            <w:r w:rsidRPr="000C7F57">
              <w:rPr>
                <w:rFonts w:eastAsia="Tahoma" w:cs="Times New Roman"/>
                <w:b/>
                <w:sz w:val="18"/>
                <w:szCs w:val="18"/>
              </w:rPr>
              <w:t>Deadline</w:t>
            </w:r>
          </w:p>
        </w:tc>
      </w:tr>
      <w:tr w:rsidR="00204C0F" w:rsidRPr="00FB18F3" w:rsidTr="00057EF6">
        <w:trPr>
          <w:trHeight w:val="280"/>
        </w:trPr>
        <w:tc>
          <w:tcPr>
            <w:tcW w:w="4960" w:type="dxa"/>
            <w:gridSpan w:val="2"/>
          </w:tcPr>
          <w:p w:rsidR="00510F7A" w:rsidRPr="000C7F57" w:rsidRDefault="00AD0ADE" w:rsidP="002148A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ahoma" w:cs="Times New Roman"/>
              </w:rPr>
            </w:pPr>
            <w:r w:rsidRPr="000C7F57">
              <w:rPr>
                <w:rFonts w:eastAsia="Tahoma" w:cs="Times New Roman"/>
              </w:rPr>
              <w:t xml:space="preserve">Changes to the initial draft of the strategic state plan will be presented to the board for </w:t>
            </w:r>
            <w:r w:rsidRPr="000C7F57">
              <w:rPr>
                <w:rFonts w:eastAsia="Tahoma" w:cs="Times New Roman"/>
              </w:rPr>
              <w:lastRenderedPageBreak/>
              <w:t>feedback during the week on April 29th.</w:t>
            </w:r>
          </w:p>
          <w:p w:rsidR="00BA0BB3" w:rsidRPr="000C7F57" w:rsidRDefault="00BA0BB3" w:rsidP="00AD0ADE">
            <w:pPr>
              <w:pStyle w:val="ListParagraph"/>
              <w:spacing w:after="0" w:line="240" w:lineRule="auto"/>
              <w:rPr>
                <w:rFonts w:eastAsia="Tahoma" w:cs="Times New Roman"/>
              </w:rPr>
            </w:pPr>
          </w:p>
        </w:tc>
        <w:tc>
          <w:tcPr>
            <w:tcW w:w="2330" w:type="dxa"/>
          </w:tcPr>
          <w:p w:rsidR="00204C0F" w:rsidRPr="000C7F57" w:rsidRDefault="00AD0ADE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lastRenderedPageBreak/>
              <w:t xml:space="preserve">Summer </w:t>
            </w:r>
          </w:p>
        </w:tc>
        <w:tc>
          <w:tcPr>
            <w:tcW w:w="2700" w:type="dxa"/>
          </w:tcPr>
          <w:p w:rsidR="00204C0F" w:rsidRPr="000C7F57" w:rsidRDefault="00AD0ADE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Week of April 29th</w:t>
            </w:r>
          </w:p>
        </w:tc>
      </w:tr>
    </w:tbl>
    <w:p w:rsidR="00382F44" w:rsidRPr="000C7F57" w:rsidRDefault="00382F44" w:rsidP="00B77052">
      <w:pPr>
        <w:spacing w:after="0"/>
        <w:rPr>
          <w:rFonts w:cs="Times New Roman"/>
        </w:rPr>
      </w:pPr>
    </w:p>
    <w:p w:rsidR="003B3981" w:rsidRPr="000C7F57" w:rsidRDefault="001000C6" w:rsidP="003B3981">
      <w:pPr>
        <w:spacing w:after="0"/>
        <w:ind w:left="-450"/>
        <w:rPr>
          <w:rFonts w:cs="Times New Roman"/>
        </w:rPr>
      </w:pPr>
      <w:r w:rsidRPr="000C7F57">
        <w:rPr>
          <w:rFonts w:cs="Times New Roman"/>
        </w:rPr>
        <w:t xml:space="preserve">Wrap Up, Next Steps </w:t>
      </w:r>
    </w:p>
    <w:tbl>
      <w:tblPr>
        <w:tblStyle w:val="a0"/>
        <w:tblW w:w="991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00"/>
        <w:gridCol w:w="2330"/>
        <w:gridCol w:w="1188"/>
      </w:tblGrid>
      <w:tr w:rsidR="00204C0F" w:rsidRPr="00FB18F3" w:rsidTr="008D1644">
        <w:tc>
          <w:tcPr>
            <w:tcW w:w="1800" w:type="dxa"/>
            <w:shd w:val="clear" w:color="auto" w:fill="D9D9D9"/>
          </w:tcPr>
          <w:p w:rsidR="00204C0F" w:rsidRPr="000C7F57" w:rsidRDefault="00204C0F" w:rsidP="003B3981">
            <w:pPr>
              <w:spacing w:after="0" w:line="240" w:lineRule="auto"/>
              <w:rPr>
                <w:rFonts w:eastAsia="Tahoma" w:cs="Times New Roman"/>
                <w:b/>
                <w:sz w:val="18"/>
                <w:szCs w:val="18"/>
              </w:rPr>
            </w:pPr>
            <w:r w:rsidRPr="000C7F57">
              <w:rPr>
                <w:rFonts w:eastAsia="Tahoma" w:cs="Times New Roman"/>
                <w:b/>
                <w:sz w:val="18"/>
                <w:szCs w:val="18"/>
              </w:rPr>
              <w:t>Discussion</w:t>
            </w:r>
          </w:p>
        </w:tc>
        <w:tc>
          <w:tcPr>
            <w:tcW w:w="8118" w:type="dxa"/>
            <w:gridSpan w:val="3"/>
          </w:tcPr>
          <w:p w:rsidR="003B3981" w:rsidRPr="000C7F57" w:rsidRDefault="00040784" w:rsidP="003B39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C7F57">
              <w:rPr>
                <w:rFonts w:cs="Times New Roman"/>
                <w:sz w:val="18"/>
                <w:szCs w:val="18"/>
              </w:rPr>
              <w:t xml:space="preserve">May Advisory Board meeting will be extended by 30 minutes to </w:t>
            </w:r>
            <w:r w:rsidR="00FB18F3" w:rsidRPr="00FB18F3">
              <w:rPr>
                <w:rFonts w:cs="Times New Roman"/>
                <w:sz w:val="18"/>
                <w:szCs w:val="18"/>
              </w:rPr>
              <w:t>accommodate training</w:t>
            </w:r>
            <w:r w:rsidR="00601359" w:rsidRPr="000C7F57">
              <w:rPr>
                <w:rFonts w:cs="Times New Roman"/>
                <w:sz w:val="18"/>
                <w:szCs w:val="18"/>
              </w:rPr>
              <w:t xml:space="preserve"> around person centered planning and thinking as well a cultural competency training. </w:t>
            </w:r>
          </w:p>
        </w:tc>
      </w:tr>
      <w:tr w:rsidR="00204C0F" w:rsidRPr="00FB18F3" w:rsidTr="008D1644">
        <w:tc>
          <w:tcPr>
            <w:tcW w:w="6400" w:type="dxa"/>
            <w:gridSpan w:val="2"/>
            <w:shd w:val="clear" w:color="auto" w:fill="D9D9D9"/>
          </w:tcPr>
          <w:p w:rsidR="00204C0F" w:rsidRPr="000C7F57" w:rsidRDefault="00204C0F" w:rsidP="003B3981">
            <w:pPr>
              <w:spacing w:after="0" w:line="240" w:lineRule="auto"/>
              <w:rPr>
                <w:rFonts w:eastAsia="Tahoma" w:cs="Times New Roman"/>
                <w:b/>
                <w:sz w:val="18"/>
                <w:szCs w:val="18"/>
              </w:rPr>
            </w:pPr>
            <w:r w:rsidRPr="000C7F57">
              <w:rPr>
                <w:rFonts w:eastAsia="Tahoma" w:cs="Times New Roman"/>
                <w:b/>
                <w:sz w:val="18"/>
                <w:szCs w:val="18"/>
              </w:rPr>
              <w:t>Action Items</w:t>
            </w:r>
          </w:p>
        </w:tc>
        <w:tc>
          <w:tcPr>
            <w:tcW w:w="2330" w:type="dxa"/>
            <w:shd w:val="clear" w:color="auto" w:fill="D9D9D9"/>
          </w:tcPr>
          <w:p w:rsidR="00204C0F" w:rsidRPr="000C7F57" w:rsidRDefault="00204C0F" w:rsidP="003B3981">
            <w:pPr>
              <w:spacing w:after="0" w:line="240" w:lineRule="auto"/>
              <w:rPr>
                <w:rFonts w:eastAsia="Tahoma" w:cs="Times New Roman"/>
                <w:b/>
                <w:sz w:val="18"/>
                <w:szCs w:val="18"/>
              </w:rPr>
            </w:pPr>
            <w:r w:rsidRPr="000C7F57">
              <w:rPr>
                <w:rFonts w:eastAsia="Tahoma" w:cs="Times New Roman"/>
                <w:b/>
                <w:sz w:val="18"/>
                <w:szCs w:val="18"/>
              </w:rPr>
              <w:t>Person(s) Responsible</w:t>
            </w:r>
          </w:p>
        </w:tc>
        <w:tc>
          <w:tcPr>
            <w:tcW w:w="1188" w:type="dxa"/>
            <w:shd w:val="clear" w:color="auto" w:fill="D9D9D9"/>
          </w:tcPr>
          <w:p w:rsidR="00204C0F" w:rsidRPr="000C7F57" w:rsidRDefault="00204C0F" w:rsidP="003B3981">
            <w:pPr>
              <w:spacing w:after="0" w:line="240" w:lineRule="auto"/>
              <w:rPr>
                <w:rFonts w:eastAsia="Tahoma" w:cs="Times New Roman"/>
                <w:b/>
                <w:sz w:val="18"/>
                <w:szCs w:val="18"/>
              </w:rPr>
            </w:pPr>
            <w:r w:rsidRPr="000C7F57">
              <w:rPr>
                <w:rFonts w:eastAsia="Tahoma" w:cs="Times New Roman"/>
                <w:b/>
                <w:sz w:val="18"/>
                <w:szCs w:val="18"/>
              </w:rPr>
              <w:t>Deadline</w:t>
            </w:r>
          </w:p>
        </w:tc>
      </w:tr>
      <w:tr w:rsidR="00204C0F" w:rsidRPr="00FB18F3" w:rsidTr="008D1644">
        <w:trPr>
          <w:trHeight w:val="280"/>
        </w:trPr>
        <w:tc>
          <w:tcPr>
            <w:tcW w:w="6400" w:type="dxa"/>
            <w:gridSpan w:val="2"/>
          </w:tcPr>
          <w:p w:rsidR="00204C0F" w:rsidRPr="000C7F57" w:rsidRDefault="00040784" w:rsidP="003B39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 xml:space="preserve">Minutes and revised state plan will be sent out to the board. </w:t>
            </w:r>
          </w:p>
          <w:p w:rsidR="00040784" w:rsidRPr="000C7F57" w:rsidRDefault="00040784" w:rsidP="003B39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Board members are asked to complete the shared online survey.</w:t>
            </w:r>
          </w:p>
          <w:p w:rsidR="00040784" w:rsidRPr="000C7F57" w:rsidRDefault="00040784" w:rsidP="003B39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Work groups calls should be scheduled for week of April 29</w:t>
            </w:r>
            <w:r w:rsidRPr="000C7F57">
              <w:rPr>
                <w:rFonts w:eastAsia="Tahoma" w:cs="Times New Roman"/>
                <w:sz w:val="18"/>
                <w:szCs w:val="18"/>
                <w:vertAlign w:val="superscript"/>
              </w:rPr>
              <w:t>th</w:t>
            </w:r>
            <w:r w:rsidRPr="000C7F57">
              <w:rPr>
                <w:rFonts w:eastAsia="Tahoma" w:cs="Times New Roman"/>
                <w:sz w:val="18"/>
                <w:szCs w:val="18"/>
              </w:rPr>
              <w:t xml:space="preserve"> to discuss proposed changes from the focus group in preparation for May meeting</w:t>
            </w:r>
          </w:p>
          <w:p w:rsidR="00040784" w:rsidRPr="000C7F57" w:rsidRDefault="00040784" w:rsidP="00FB18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 xml:space="preserve">May Meeting will be extended by 30 minutes to begin at 10:00 </w:t>
            </w:r>
          </w:p>
        </w:tc>
        <w:tc>
          <w:tcPr>
            <w:tcW w:w="2330" w:type="dxa"/>
          </w:tcPr>
          <w:p w:rsidR="00204C0F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MINDSOURCE</w:t>
            </w: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MINDSOURCE</w:t>
            </w: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Work Groups</w:t>
            </w: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MINDSOURCE</w:t>
            </w:r>
          </w:p>
        </w:tc>
        <w:tc>
          <w:tcPr>
            <w:tcW w:w="1188" w:type="dxa"/>
          </w:tcPr>
          <w:p w:rsidR="00204C0F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4/4/19</w:t>
            </w: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4/4/19</w:t>
            </w: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3/21/19</w:t>
            </w: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</w:p>
          <w:p w:rsidR="00040784" w:rsidRPr="000C7F57" w:rsidRDefault="00040784" w:rsidP="008D1644">
            <w:pPr>
              <w:spacing w:after="0" w:line="240" w:lineRule="auto"/>
              <w:rPr>
                <w:rFonts w:eastAsia="Tahoma" w:cs="Times New Roman"/>
                <w:sz w:val="18"/>
                <w:szCs w:val="18"/>
              </w:rPr>
            </w:pPr>
            <w:r w:rsidRPr="000C7F57">
              <w:rPr>
                <w:rFonts w:eastAsia="Tahoma" w:cs="Times New Roman"/>
                <w:sz w:val="18"/>
                <w:szCs w:val="18"/>
              </w:rPr>
              <w:t>3/21/19</w:t>
            </w:r>
          </w:p>
        </w:tc>
      </w:tr>
    </w:tbl>
    <w:p w:rsidR="0039018A" w:rsidRPr="000C7F57" w:rsidRDefault="00B55BA2">
      <w:pPr>
        <w:rPr>
          <w:rFonts w:cs="Times New Roman"/>
        </w:rPr>
      </w:pPr>
      <w:r w:rsidRPr="000C7F57">
        <w:rPr>
          <w:rFonts w:cs="Times New Roman"/>
        </w:rPr>
        <w:t xml:space="preserve">Next Meeting: </w:t>
      </w:r>
      <w:r w:rsidR="00072B58" w:rsidRPr="000C7F57">
        <w:rPr>
          <w:rFonts w:cs="Times New Roman"/>
        </w:rPr>
        <w:t xml:space="preserve">Mile High United Way </w:t>
      </w:r>
      <w:r w:rsidR="00040784" w:rsidRPr="000C7F57">
        <w:rPr>
          <w:rFonts w:cs="Times New Roman"/>
          <w:b/>
        </w:rPr>
        <w:t xml:space="preserve">BUSSE ROOM </w:t>
      </w:r>
      <w:r w:rsidR="00072B58" w:rsidRPr="000C7F57">
        <w:rPr>
          <w:rFonts w:cs="Times New Roman"/>
        </w:rPr>
        <w:t xml:space="preserve">711 Park Ave W, Denver, CO 80205 </w:t>
      </w:r>
      <w:r w:rsidR="00040784" w:rsidRPr="000C7F57">
        <w:rPr>
          <w:rFonts w:cs="Times New Roman"/>
        </w:rPr>
        <w:t>May 16</w:t>
      </w:r>
      <w:r w:rsidR="00CB4079" w:rsidRPr="000C7F57">
        <w:rPr>
          <w:rFonts w:cs="Times New Roman"/>
        </w:rPr>
        <w:t>,</w:t>
      </w:r>
      <w:r w:rsidR="0039646F" w:rsidRPr="000C7F57">
        <w:rPr>
          <w:rFonts w:cs="Times New Roman"/>
        </w:rPr>
        <w:t xml:space="preserve"> 2019 </w:t>
      </w:r>
      <w:r w:rsidR="00131259" w:rsidRPr="000C7F57">
        <w:rPr>
          <w:rFonts w:cs="Times New Roman"/>
        </w:rPr>
        <w:t xml:space="preserve"> 10:</w:t>
      </w:r>
      <w:r w:rsidR="00040784" w:rsidRPr="000C7F57">
        <w:rPr>
          <w:rFonts w:cs="Times New Roman"/>
        </w:rPr>
        <w:t>0</w:t>
      </w:r>
      <w:r w:rsidR="00131259" w:rsidRPr="000C7F57">
        <w:rPr>
          <w:rFonts w:cs="Times New Roman"/>
        </w:rPr>
        <w:t>0-1:30 p</w:t>
      </w:r>
      <w:r w:rsidRPr="000C7F57">
        <w:rPr>
          <w:rFonts w:cs="Times New Roman"/>
        </w:rPr>
        <w:t>m</w:t>
      </w:r>
    </w:p>
    <w:sectPr w:rsidR="0039018A" w:rsidRPr="000C7F5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73" w:rsidRDefault="00033E73" w:rsidP="00FB36D2">
      <w:pPr>
        <w:spacing w:after="0" w:line="240" w:lineRule="auto"/>
      </w:pPr>
      <w:r>
        <w:separator/>
      </w:r>
    </w:p>
  </w:endnote>
  <w:endnote w:type="continuationSeparator" w:id="0">
    <w:p w:rsidR="00033E73" w:rsidRDefault="00033E73" w:rsidP="00FB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53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B67" w:rsidRDefault="008F6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B67" w:rsidRDefault="008F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73" w:rsidRDefault="00033E73" w:rsidP="00FB36D2">
      <w:pPr>
        <w:spacing w:after="0" w:line="240" w:lineRule="auto"/>
      </w:pPr>
      <w:r>
        <w:separator/>
      </w:r>
    </w:p>
  </w:footnote>
  <w:footnote w:type="continuationSeparator" w:id="0">
    <w:p w:rsidR="00033E73" w:rsidRDefault="00033E73" w:rsidP="00FB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32"/>
    <w:multiLevelType w:val="hybridMultilevel"/>
    <w:tmpl w:val="002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A76"/>
    <w:multiLevelType w:val="hybridMultilevel"/>
    <w:tmpl w:val="9EDE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1F7"/>
    <w:multiLevelType w:val="hybridMultilevel"/>
    <w:tmpl w:val="B9D243CC"/>
    <w:lvl w:ilvl="0" w:tplc="36527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51ABD"/>
    <w:multiLevelType w:val="hybridMultilevel"/>
    <w:tmpl w:val="922E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01F2"/>
    <w:multiLevelType w:val="hybridMultilevel"/>
    <w:tmpl w:val="8F8EA72A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5ED8"/>
    <w:multiLevelType w:val="hybridMultilevel"/>
    <w:tmpl w:val="7F72D694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74E4"/>
    <w:multiLevelType w:val="hybridMultilevel"/>
    <w:tmpl w:val="4BB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32A15"/>
    <w:multiLevelType w:val="hybridMultilevel"/>
    <w:tmpl w:val="432C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1AE1"/>
    <w:multiLevelType w:val="hybridMultilevel"/>
    <w:tmpl w:val="DB72509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1D5B547B"/>
    <w:multiLevelType w:val="hybridMultilevel"/>
    <w:tmpl w:val="80B0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44BC1"/>
    <w:multiLevelType w:val="hybridMultilevel"/>
    <w:tmpl w:val="DF14B992"/>
    <w:lvl w:ilvl="0" w:tplc="36527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327C8B"/>
    <w:multiLevelType w:val="hybridMultilevel"/>
    <w:tmpl w:val="437E999A"/>
    <w:lvl w:ilvl="0" w:tplc="365275BE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>
    <w:nsid w:val="211974E6"/>
    <w:multiLevelType w:val="hybridMultilevel"/>
    <w:tmpl w:val="947E1868"/>
    <w:lvl w:ilvl="0" w:tplc="C12E7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D022D"/>
    <w:multiLevelType w:val="hybridMultilevel"/>
    <w:tmpl w:val="040A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C3CD8"/>
    <w:multiLevelType w:val="hybridMultilevel"/>
    <w:tmpl w:val="CE76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26E2A"/>
    <w:multiLevelType w:val="hybridMultilevel"/>
    <w:tmpl w:val="2F34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67F82"/>
    <w:multiLevelType w:val="hybridMultilevel"/>
    <w:tmpl w:val="C72A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35647"/>
    <w:multiLevelType w:val="hybridMultilevel"/>
    <w:tmpl w:val="456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52FD6"/>
    <w:multiLevelType w:val="hybridMultilevel"/>
    <w:tmpl w:val="D2F226E8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705F8"/>
    <w:multiLevelType w:val="hybridMultilevel"/>
    <w:tmpl w:val="687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C31DD"/>
    <w:multiLevelType w:val="hybridMultilevel"/>
    <w:tmpl w:val="5416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E0FDE"/>
    <w:multiLevelType w:val="hybridMultilevel"/>
    <w:tmpl w:val="7716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5136C"/>
    <w:multiLevelType w:val="hybridMultilevel"/>
    <w:tmpl w:val="B2D8A2E0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7727E"/>
    <w:multiLevelType w:val="hybridMultilevel"/>
    <w:tmpl w:val="24B6C7CC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648AD"/>
    <w:multiLevelType w:val="hybridMultilevel"/>
    <w:tmpl w:val="513A80C2"/>
    <w:lvl w:ilvl="0" w:tplc="36527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CB0E19"/>
    <w:multiLevelType w:val="hybridMultilevel"/>
    <w:tmpl w:val="EEA4B1FA"/>
    <w:lvl w:ilvl="0" w:tplc="365275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E1617"/>
    <w:multiLevelType w:val="hybridMultilevel"/>
    <w:tmpl w:val="56F0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969CE"/>
    <w:multiLevelType w:val="multilevel"/>
    <w:tmpl w:val="BC5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2E3929"/>
    <w:multiLevelType w:val="hybridMultilevel"/>
    <w:tmpl w:val="31D4012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>
    <w:nsid w:val="49E22F1E"/>
    <w:multiLevelType w:val="hybridMultilevel"/>
    <w:tmpl w:val="B05C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135B5"/>
    <w:multiLevelType w:val="multilevel"/>
    <w:tmpl w:val="118EF4E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F106123"/>
    <w:multiLevelType w:val="multilevel"/>
    <w:tmpl w:val="6C2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AA2C3F"/>
    <w:multiLevelType w:val="multilevel"/>
    <w:tmpl w:val="314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165F8"/>
    <w:multiLevelType w:val="multilevel"/>
    <w:tmpl w:val="4A30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E479E4"/>
    <w:multiLevelType w:val="hybridMultilevel"/>
    <w:tmpl w:val="FA8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95FD5"/>
    <w:multiLevelType w:val="hybridMultilevel"/>
    <w:tmpl w:val="7A70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5E1C40"/>
    <w:multiLevelType w:val="hybridMultilevel"/>
    <w:tmpl w:val="0FA4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F5333"/>
    <w:multiLevelType w:val="hybridMultilevel"/>
    <w:tmpl w:val="4712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B79BA"/>
    <w:multiLevelType w:val="hybridMultilevel"/>
    <w:tmpl w:val="FBBABA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0696F7F"/>
    <w:multiLevelType w:val="hybridMultilevel"/>
    <w:tmpl w:val="18C6A434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E225C"/>
    <w:multiLevelType w:val="hybridMultilevel"/>
    <w:tmpl w:val="A0A0BF4A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D6C7B"/>
    <w:multiLevelType w:val="hybridMultilevel"/>
    <w:tmpl w:val="0B507032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F483D"/>
    <w:multiLevelType w:val="hybridMultilevel"/>
    <w:tmpl w:val="360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30085"/>
    <w:multiLevelType w:val="hybridMultilevel"/>
    <w:tmpl w:val="5358A97C"/>
    <w:lvl w:ilvl="0" w:tplc="365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E19B9"/>
    <w:multiLevelType w:val="hybridMultilevel"/>
    <w:tmpl w:val="03D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C7A71"/>
    <w:multiLevelType w:val="multilevel"/>
    <w:tmpl w:val="F17830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F5650EB"/>
    <w:multiLevelType w:val="hybridMultilevel"/>
    <w:tmpl w:val="08AAC7FA"/>
    <w:lvl w:ilvl="0" w:tplc="36527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5"/>
  </w:num>
  <w:num w:numId="3">
    <w:abstractNumId w:val="43"/>
  </w:num>
  <w:num w:numId="4">
    <w:abstractNumId w:val="30"/>
  </w:num>
  <w:num w:numId="5">
    <w:abstractNumId w:val="12"/>
  </w:num>
  <w:num w:numId="6">
    <w:abstractNumId w:val="39"/>
  </w:num>
  <w:num w:numId="7">
    <w:abstractNumId w:val="31"/>
  </w:num>
  <w:num w:numId="8">
    <w:abstractNumId w:val="3"/>
  </w:num>
  <w:num w:numId="9">
    <w:abstractNumId w:val="32"/>
  </w:num>
  <w:num w:numId="10">
    <w:abstractNumId w:val="18"/>
  </w:num>
  <w:num w:numId="11">
    <w:abstractNumId w:val="27"/>
  </w:num>
  <w:num w:numId="12">
    <w:abstractNumId w:val="44"/>
  </w:num>
  <w:num w:numId="13">
    <w:abstractNumId w:val="41"/>
  </w:num>
  <w:num w:numId="14">
    <w:abstractNumId w:val="7"/>
  </w:num>
  <w:num w:numId="15">
    <w:abstractNumId w:val="13"/>
  </w:num>
  <w:num w:numId="16">
    <w:abstractNumId w:val="35"/>
  </w:num>
  <w:num w:numId="17">
    <w:abstractNumId w:val="36"/>
  </w:num>
  <w:num w:numId="18">
    <w:abstractNumId w:val="29"/>
  </w:num>
  <w:num w:numId="19">
    <w:abstractNumId w:val="8"/>
  </w:num>
  <w:num w:numId="20">
    <w:abstractNumId w:val="28"/>
  </w:num>
  <w:num w:numId="21">
    <w:abstractNumId w:val="26"/>
  </w:num>
  <w:num w:numId="22">
    <w:abstractNumId w:val="34"/>
  </w:num>
  <w:num w:numId="23">
    <w:abstractNumId w:val="6"/>
  </w:num>
  <w:num w:numId="24">
    <w:abstractNumId w:val="19"/>
  </w:num>
  <w:num w:numId="25">
    <w:abstractNumId w:val="17"/>
  </w:num>
  <w:num w:numId="26">
    <w:abstractNumId w:val="5"/>
  </w:num>
  <w:num w:numId="27">
    <w:abstractNumId w:val="4"/>
  </w:num>
  <w:num w:numId="28">
    <w:abstractNumId w:val="0"/>
  </w:num>
  <w:num w:numId="29">
    <w:abstractNumId w:val="37"/>
  </w:num>
  <w:num w:numId="30">
    <w:abstractNumId w:val="20"/>
  </w:num>
  <w:num w:numId="31">
    <w:abstractNumId w:val="38"/>
  </w:num>
  <w:num w:numId="32">
    <w:abstractNumId w:val="10"/>
  </w:num>
  <w:num w:numId="33">
    <w:abstractNumId w:val="42"/>
  </w:num>
  <w:num w:numId="34">
    <w:abstractNumId w:val="15"/>
  </w:num>
  <w:num w:numId="35">
    <w:abstractNumId w:val="14"/>
  </w:num>
  <w:num w:numId="36">
    <w:abstractNumId w:val="40"/>
  </w:num>
  <w:num w:numId="37">
    <w:abstractNumId w:val="23"/>
  </w:num>
  <w:num w:numId="38">
    <w:abstractNumId w:val="11"/>
  </w:num>
  <w:num w:numId="39">
    <w:abstractNumId w:val="2"/>
  </w:num>
  <w:num w:numId="40">
    <w:abstractNumId w:val="46"/>
  </w:num>
  <w:num w:numId="41">
    <w:abstractNumId w:val="24"/>
  </w:num>
  <w:num w:numId="42">
    <w:abstractNumId w:val="22"/>
  </w:num>
  <w:num w:numId="43">
    <w:abstractNumId w:val="25"/>
  </w:num>
  <w:num w:numId="44">
    <w:abstractNumId w:val="9"/>
  </w:num>
  <w:num w:numId="45">
    <w:abstractNumId w:val="1"/>
  </w:num>
  <w:num w:numId="46">
    <w:abstractNumId w:val="2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18A"/>
    <w:rsid w:val="0002324C"/>
    <w:rsid w:val="00033E73"/>
    <w:rsid w:val="00040784"/>
    <w:rsid w:val="00057EF6"/>
    <w:rsid w:val="00072B58"/>
    <w:rsid w:val="000765F3"/>
    <w:rsid w:val="000C7F57"/>
    <w:rsid w:val="000E42DB"/>
    <w:rsid w:val="001000C6"/>
    <w:rsid w:val="0010508A"/>
    <w:rsid w:val="00131259"/>
    <w:rsid w:val="001324E6"/>
    <w:rsid w:val="0014736D"/>
    <w:rsid w:val="0017134E"/>
    <w:rsid w:val="001C436F"/>
    <w:rsid w:val="001F5008"/>
    <w:rsid w:val="00204C0F"/>
    <w:rsid w:val="002148A4"/>
    <w:rsid w:val="00215A3B"/>
    <w:rsid w:val="00281439"/>
    <w:rsid w:val="002C0EF6"/>
    <w:rsid w:val="002E6969"/>
    <w:rsid w:val="003671B8"/>
    <w:rsid w:val="00382F44"/>
    <w:rsid w:val="0039018A"/>
    <w:rsid w:val="0039646F"/>
    <w:rsid w:val="003B3981"/>
    <w:rsid w:val="003E5CAA"/>
    <w:rsid w:val="00420E93"/>
    <w:rsid w:val="00447B0B"/>
    <w:rsid w:val="00466702"/>
    <w:rsid w:val="00492F32"/>
    <w:rsid w:val="005012E8"/>
    <w:rsid w:val="00510F7A"/>
    <w:rsid w:val="00597238"/>
    <w:rsid w:val="005A318D"/>
    <w:rsid w:val="005B2293"/>
    <w:rsid w:val="005B6CFC"/>
    <w:rsid w:val="005D26E8"/>
    <w:rsid w:val="00601359"/>
    <w:rsid w:val="006965C9"/>
    <w:rsid w:val="006C33CF"/>
    <w:rsid w:val="006E1D76"/>
    <w:rsid w:val="0076265D"/>
    <w:rsid w:val="00767FF4"/>
    <w:rsid w:val="00812B97"/>
    <w:rsid w:val="00823094"/>
    <w:rsid w:val="0082421B"/>
    <w:rsid w:val="00834BEE"/>
    <w:rsid w:val="008640E7"/>
    <w:rsid w:val="00876465"/>
    <w:rsid w:val="008B5909"/>
    <w:rsid w:val="008D1644"/>
    <w:rsid w:val="008F081B"/>
    <w:rsid w:val="008F6B67"/>
    <w:rsid w:val="00913DB6"/>
    <w:rsid w:val="00924019"/>
    <w:rsid w:val="009519C5"/>
    <w:rsid w:val="009D0809"/>
    <w:rsid w:val="009D5EAF"/>
    <w:rsid w:val="00A03747"/>
    <w:rsid w:val="00A12E42"/>
    <w:rsid w:val="00AD0ADE"/>
    <w:rsid w:val="00AD5FF6"/>
    <w:rsid w:val="00B55BA2"/>
    <w:rsid w:val="00B77052"/>
    <w:rsid w:val="00B84DA2"/>
    <w:rsid w:val="00BA0BB3"/>
    <w:rsid w:val="00BA6A88"/>
    <w:rsid w:val="00C011E6"/>
    <w:rsid w:val="00C10EDD"/>
    <w:rsid w:val="00C12822"/>
    <w:rsid w:val="00C43350"/>
    <w:rsid w:val="00C57688"/>
    <w:rsid w:val="00C92977"/>
    <w:rsid w:val="00CB4079"/>
    <w:rsid w:val="00CC74CA"/>
    <w:rsid w:val="00D37A15"/>
    <w:rsid w:val="00D42DC3"/>
    <w:rsid w:val="00D541B2"/>
    <w:rsid w:val="00D73AF2"/>
    <w:rsid w:val="00D83435"/>
    <w:rsid w:val="00D91114"/>
    <w:rsid w:val="00DD6784"/>
    <w:rsid w:val="00E64C4E"/>
    <w:rsid w:val="00EE21DF"/>
    <w:rsid w:val="00EF5A0D"/>
    <w:rsid w:val="00F0420C"/>
    <w:rsid w:val="00F1312B"/>
    <w:rsid w:val="00F50B8A"/>
    <w:rsid w:val="00F5733A"/>
    <w:rsid w:val="00F644BE"/>
    <w:rsid w:val="00F87BBF"/>
    <w:rsid w:val="00F948CE"/>
    <w:rsid w:val="00FA1AB3"/>
    <w:rsid w:val="00FB02B8"/>
    <w:rsid w:val="00FB18F3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16F0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516F0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516F0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16F01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516F0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6B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5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7E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B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2"/>
  </w:style>
  <w:style w:type="character" w:styleId="Hyperlink">
    <w:name w:val="Hyperlink"/>
    <w:basedOn w:val="DefaultParagraphFont"/>
    <w:uiPriority w:val="99"/>
    <w:unhideWhenUsed/>
    <w:rsid w:val="00C57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16F0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516F0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516F0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16F01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516F0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6B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5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7E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B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2"/>
  </w:style>
  <w:style w:type="character" w:styleId="Hyperlink">
    <w:name w:val="Hyperlink"/>
    <w:basedOn w:val="DefaultParagraphFont"/>
    <w:uiPriority w:val="99"/>
    <w:unhideWhenUsed/>
    <w:rsid w:val="00C57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8audAytklLxWfojXAofEC_QK4pT448lcjxc-iul_b7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SHG Advisors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V. Herrera</dc:creator>
  <cp:lastModifiedBy>cdhstest</cp:lastModifiedBy>
  <cp:revision>2</cp:revision>
  <dcterms:created xsi:type="dcterms:W3CDTF">2019-04-02T21:09:00Z</dcterms:created>
  <dcterms:modified xsi:type="dcterms:W3CDTF">2019-04-02T21:09:00Z</dcterms:modified>
</cp:coreProperties>
</file>